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r>
        <w:rPr>
          <w:color w:val="auto"/>
          <w:sz w:val="24"/>
          <w:szCs w:val="24"/>
        </w:rPr>
        <w:drawing>
          <wp:anchor distT="0" distB="0" distL="114300" distR="114300" simplePos="0" relativeHeight="251659264" behindDoc="1" locked="0" layoutInCell="0" allowOverlap="1">
            <wp:simplePos x="0" y="0"/>
            <wp:positionH relativeFrom="page">
              <wp:posOffset>3486785</wp:posOffset>
            </wp:positionH>
            <wp:positionV relativeFrom="page">
              <wp:posOffset>537845</wp:posOffset>
            </wp:positionV>
            <wp:extent cx="553085" cy="662940"/>
            <wp:effectExtent l="0" t="0" r="184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53085" cy="662940"/>
                    </a:xfrm>
                    <a:prstGeom prst="rect">
                      <a:avLst/>
                    </a:prstGeom>
                    <a:noFill/>
                  </pic:spPr>
                </pic:pic>
              </a:graphicData>
            </a:graphic>
          </wp:anchor>
        </w:drawing>
      </w:r>
    </w:p>
    <w:p>
      <w:pPr>
        <w:spacing w:after="0" w:line="321" w:lineRule="exact"/>
        <w:rPr>
          <w:color w:val="auto"/>
          <w:sz w:val="24"/>
          <w:szCs w:val="24"/>
        </w:rPr>
      </w:pPr>
    </w:p>
    <w:p>
      <w:pPr>
        <w:spacing w:after="0"/>
        <w:ind w:right="6"/>
        <w:jc w:val="center"/>
        <w:rPr>
          <w:color w:val="auto"/>
          <w:sz w:val="20"/>
          <w:szCs w:val="20"/>
        </w:rPr>
      </w:pPr>
      <w:r>
        <w:rPr>
          <w:rFonts w:ascii="Times New Roman" w:hAnsi="Times New Roman" w:eastAsia="Times New Roman" w:cs="Times New Roman"/>
          <w:b/>
          <w:bCs/>
          <w:color w:val="auto"/>
          <w:sz w:val="24"/>
          <w:szCs w:val="24"/>
        </w:rPr>
        <w:t>Universidade Federal da Paraíba</w:t>
      </w:r>
    </w:p>
    <w:p>
      <w:pPr>
        <w:spacing w:after="0"/>
        <w:ind w:right="6"/>
        <w:jc w:val="center"/>
        <w:rPr>
          <w:color w:val="auto"/>
          <w:sz w:val="20"/>
          <w:szCs w:val="20"/>
        </w:rPr>
      </w:pPr>
      <w:r>
        <w:rPr>
          <w:rFonts w:ascii="Times New Roman" w:hAnsi="Times New Roman" w:eastAsia="Times New Roman" w:cs="Times New Roman"/>
          <w:b/>
          <w:bCs/>
          <w:color w:val="auto"/>
          <w:sz w:val="24"/>
          <w:szCs w:val="24"/>
        </w:rPr>
        <w:t>Centro de Ciências Aplicadas e Educação</w:t>
      </w:r>
    </w:p>
    <w:p>
      <w:pPr>
        <w:spacing w:after="0"/>
        <w:ind w:right="6"/>
        <w:jc w:val="center"/>
        <w:rPr>
          <w:color w:val="auto"/>
          <w:sz w:val="20"/>
          <w:szCs w:val="20"/>
        </w:rPr>
      </w:pPr>
      <w:r>
        <w:rPr>
          <w:rFonts w:ascii="Times New Roman" w:hAnsi="Times New Roman" w:eastAsia="Times New Roman" w:cs="Times New Roman"/>
          <w:b/>
          <w:bCs/>
          <w:color w:val="auto"/>
          <w:sz w:val="24"/>
          <w:szCs w:val="24"/>
        </w:rPr>
        <w:t>Campus IV – Litoral Norte</w:t>
      </w:r>
    </w:p>
    <w:p>
      <w:pPr>
        <w:spacing w:after="0"/>
        <w:ind w:right="6"/>
        <w:jc w:val="center"/>
        <w:rPr>
          <w:color w:val="auto"/>
          <w:sz w:val="20"/>
          <w:szCs w:val="20"/>
        </w:rPr>
      </w:pPr>
      <w:r>
        <w:rPr>
          <w:rFonts w:ascii="Times New Roman" w:hAnsi="Times New Roman" w:eastAsia="Times New Roman" w:cs="Times New Roman"/>
          <w:b/>
          <w:bCs/>
          <w:color w:val="auto"/>
          <w:sz w:val="24"/>
          <w:szCs w:val="24"/>
        </w:rPr>
        <w:t>Departamento de Letras - DL</w:t>
      </w:r>
    </w:p>
    <w:p>
      <w:pPr>
        <w:spacing w:after="0" w:line="276" w:lineRule="exact"/>
        <w:rPr>
          <w:color w:val="auto"/>
          <w:sz w:val="24"/>
          <w:szCs w:val="24"/>
        </w:rPr>
      </w:pPr>
    </w:p>
    <w:p>
      <w:pPr>
        <w:spacing w:after="0"/>
        <w:ind w:right="6"/>
        <w:jc w:val="center"/>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EDITAL PROGEP N. 06/2022</w:t>
      </w:r>
      <w:r>
        <w:rPr>
          <w:rFonts w:hint="default" w:ascii="Times New Roman" w:hAnsi="Times New Roman" w:eastAsia="Times New Roman" w:cs="Times New Roman"/>
          <w:b/>
          <w:bCs/>
          <w:color w:val="auto"/>
          <w:sz w:val="24"/>
          <w:szCs w:val="24"/>
          <w:lang w:val="pt-BR"/>
        </w:rPr>
        <w:t xml:space="preserve"> - </w:t>
      </w:r>
      <w:r>
        <w:rPr>
          <w:rFonts w:ascii="Times New Roman" w:hAnsi="Times New Roman" w:eastAsia="Times New Roman" w:cs="Times New Roman"/>
          <w:b/>
          <w:bCs/>
          <w:color w:val="auto"/>
          <w:sz w:val="24"/>
          <w:szCs w:val="24"/>
        </w:rPr>
        <w:t xml:space="preserve">CONCURSO DE PROVAS E TÍTULOS </w:t>
      </w:r>
    </w:p>
    <w:p>
      <w:pPr>
        <w:spacing w:after="0" w:line="288" w:lineRule="auto"/>
        <w:ind w:left="540" w:right="526" w:hanging="23"/>
        <w:jc w:val="center"/>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PARA PROF</w:t>
      </w:r>
      <w:bookmarkStart w:id="1" w:name="_GoBack"/>
      <w:bookmarkEnd w:id="1"/>
      <w:r>
        <w:rPr>
          <w:rFonts w:ascii="Times New Roman" w:hAnsi="Times New Roman" w:eastAsia="Times New Roman" w:cs="Times New Roman"/>
          <w:b/>
          <w:bCs/>
          <w:color w:val="auto"/>
          <w:sz w:val="24"/>
          <w:szCs w:val="24"/>
        </w:rPr>
        <w:t xml:space="preserve">ESSOR SUBSTITUTO </w:t>
      </w:r>
    </w:p>
    <w:p>
      <w:pPr>
        <w:spacing w:after="0" w:line="288" w:lineRule="auto"/>
        <w:ind w:left="540" w:right="526" w:hanging="23"/>
        <w:jc w:val="center"/>
        <w:rPr>
          <w:color w:val="auto"/>
          <w:sz w:val="20"/>
          <w:szCs w:val="20"/>
        </w:rPr>
      </w:pPr>
      <w:r>
        <w:rPr>
          <w:rFonts w:ascii="Times New Roman" w:hAnsi="Times New Roman" w:eastAsia="Times New Roman" w:cs="Times New Roman"/>
          <w:b/>
          <w:bCs/>
          <w:color w:val="auto"/>
          <w:sz w:val="24"/>
          <w:szCs w:val="24"/>
        </w:rPr>
        <w:t>ÁREA DE CONCENTRAÇÃO: LÍNGUA PORTUGUESA E LINGUÍSTICA</w:t>
      </w:r>
    </w:p>
    <w:p>
      <w:pPr>
        <w:spacing w:after="0" w:line="185" w:lineRule="exact"/>
        <w:jc w:val="center"/>
        <w:rPr>
          <w:color w:val="auto"/>
          <w:sz w:val="24"/>
          <w:szCs w:val="24"/>
        </w:rPr>
      </w:pPr>
    </w:p>
    <w:p>
      <w:pPr>
        <w:spacing w:after="0"/>
        <w:ind w:right="6"/>
        <w:jc w:val="center"/>
        <w:rPr>
          <w:rFonts w:ascii="Times New Roman" w:hAnsi="Times New Roman" w:eastAsia="Times New Roman" w:cs="Times New Roman"/>
          <w:b/>
          <w:bCs/>
          <w:color w:val="auto"/>
          <w:sz w:val="24"/>
          <w:szCs w:val="24"/>
          <w:u w:val="single" w:color="auto"/>
        </w:rPr>
      </w:pPr>
    </w:p>
    <w:p>
      <w:pPr>
        <w:spacing w:after="0"/>
        <w:ind w:right="6"/>
        <w:jc w:val="center"/>
        <w:rPr>
          <w:rFonts w:hint="default" w:ascii="Times New Roman" w:hAnsi="Times New Roman" w:eastAsia="Times New Roman" w:cs="Times New Roman"/>
          <w:b/>
          <w:bCs/>
          <w:color w:val="FF0000"/>
          <w:sz w:val="24"/>
          <w:szCs w:val="24"/>
          <w:u w:val="single" w:color="auto"/>
          <w:lang w:val="pt-BR"/>
        </w:rPr>
      </w:pPr>
      <w:r>
        <w:rPr>
          <w:rFonts w:ascii="Times New Roman" w:hAnsi="Times New Roman" w:eastAsia="Times New Roman" w:cs="Times New Roman"/>
          <w:b/>
          <w:bCs/>
          <w:color w:val="auto"/>
          <w:sz w:val="24"/>
          <w:szCs w:val="24"/>
          <w:u w:val="single" w:color="auto"/>
        </w:rPr>
        <w:t>CALENDÁRIO DO CONCURSO</w:t>
      </w:r>
      <w:r>
        <w:rPr>
          <w:rFonts w:hint="default" w:ascii="Times New Roman" w:hAnsi="Times New Roman" w:eastAsia="Times New Roman" w:cs="Times New Roman"/>
          <w:b/>
          <w:bCs/>
          <w:color w:val="auto"/>
          <w:sz w:val="24"/>
          <w:szCs w:val="24"/>
          <w:u w:val="single" w:color="auto"/>
          <w:lang w:val="pt-BR"/>
        </w:rPr>
        <w:t xml:space="preserve"> - </w:t>
      </w:r>
      <w:r>
        <w:rPr>
          <w:rFonts w:hint="default" w:ascii="Times New Roman" w:hAnsi="Times New Roman" w:eastAsia="Times New Roman" w:cs="Times New Roman"/>
          <w:b/>
          <w:bCs/>
          <w:color w:val="FF0000"/>
          <w:sz w:val="24"/>
          <w:szCs w:val="24"/>
          <w:u w:val="single" w:color="auto"/>
          <w:lang w:val="pt-BR"/>
        </w:rPr>
        <w:t>RETIFICADO</w:t>
      </w:r>
    </w:p>
    <w:p>
      <w:pPr>
        <w:spacing w:after="0"/>
        <w:ind w:right="6"/>
        <w:jc w:val="center"/>
        <w:rPr>
          <w:rFonts w:hint="default" w:ascii="Times New Roman" w:hAnsi="Times New Roman" w:eastAsia="Times New Roman" w:cs="Times New Roman"/>
          <w:b/>
          <w:bCs/>
          <w:color w:val="auto"/>
          <w:sz w:val="22"/>
          <w:szCs w:val="22"/>
          <w:u w:val="single" w:color="auto"/>
          <w:lang w:val="pt-BR"/>
        </w:rPr>
      </w:pPr>
    </w:p>
    <w:tbl>
      <w:tblPr>
        <w:tblStyle w:val="4"/>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1339"/>
        <w:gridCol w:w="1484"/>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249" w:type="dxa"/>
            <w:tcBorders>
              <w:top w:val="single" w:color="000000" w:sz="8"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bCs/>
                <w:color w:val="000000"/>
                <w:sz w:val="22"/>
                <w:szCs w:val="22"/>
                <w:u w:val="none" w:color="auto"/>
                <w:vertAlign w:val="baseline"/>
                <w:lang w:val="pt-BR"/>
              </w:rPr>
            </w:pPr>
            <w:r>
              <w:rPr>
                <w:rFonts w:hint="default" w:ascii="Times New Roman" w:hAnsi="Times New Roman" w:eastAsia="Times New Roman" w:cs="Times New Roman"/>
                <w:b/>
                <w:bCs/>
                <w:color w:val="000000"/>
                <w:sz w:val="22"/>
                <w:szCs w:val="22"/>
                <w:u w:val="none" w:color="auto"/>
                <w:vertAlign w:val="baseline"/>
                <w:lang w:val="pt-BR"/>
              </w:rPr>
              <w:t>Etapas do Concurso</w:t>
            </w:r>
          </w:p>
        </w:tc>
        <w:tc>
          <w:tcPr>
            <w:tcW w:w="1339" w:type="dxa"/>
            <w:tcBorders>
              <w:top w:val="single" w:color="000000" w:sz="8"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bCs/>
                <w:color w:val="000000"/>
                <w:sz w:val="22"/>
                <w:szCs w:val="22"/>
                <w:u w:val="none" w:color="auto"/>
                <w:vertAlign w:val="baseline"/>
                <w:lang w:val="pt-BR"/>
              </w:rPr>
            </w:pPr>
            <w:r>
              <w:rPr>
                <w:rFonts w:hint="default" w:ascii="Times New Roman" w:hAnsi="Times New Roman" w:eastAsia="Times New Roman" w:cs="Times New Roman"/>
                <w:b/>
                <w:bCs/>
                <w:color w:val="000000"/>
                <w:sz w:val="22"/>
                <w:szCs w:val="22"/>
                <w:u w:val="none" w:color="auto"/>
                <w:vertAlign w:val="baseline"/>
                <w:lang w:val="pt-BR"/>
              </w:rPr>
              <w:t>Data</w:t>
            </w:r>
          </w:p>
        </w:tc>
        <w:tc>
          <w:tcPr>
            <w:tcW w:w="1484" w:type="dxa"/>
            <w:tcBorders>
              <w:top w:val="single" w:color="000000" w:sz="8"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bCs/>
                <w:color w:val="000000"/>
                <w:sz w:val="22"/>
                <w:szCs w:val="22"/>
                <w:u w:val="none" w:color="auto"/>
                <w:vertAlign w:val="baseline"/>
                <w:lang w:val="pt-BR"/>
              </w:rPr>
            </w:pPr>
            <w:r>
              <w:rPr>
                <w:rFonts w:hint="default" w:ascii="Times New Roman" w:hAnsi="Times New Roman" w:eastAsia="Times New Roman" w:cs="Times New Roman"/>
                <w:b/>
                <w:bCs/>
                <w:color w:val="000000"/>
                <w:sz w:val="22"/>
                <w:szCs w:val="22"/>
                <w:u w:val="none" w:color="auto"/>
                <w:vertAlign w:val="baseline"/>
                <w:lang w:val="pt-BR"/>
              </w:rPr>
              <w:t>Horário</w:t>
            </w:r>
          </w:p>
        </w:tc>
        <w:tc>
          <w:tcPr>
            <w:tcW w:w="2747" w:type="dxa"/>
            <w:tcBorders>
              <w:top w:val="single" w:color="000000" w:sz="8"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bCs/>
                <w:color w:val="000000"/>
                <w:sz w:val="22"/>
                <w:szCs w:val="22"/>
                <w:u w:val="none" w:color="auto"/>
                <w:vertAlign w:val="baseline"/>
                <w:lang w:val="pt-BR"/>
              </w:rPr>
            </w:pPr>
            <w:r>
              <w:rPr>
                <w:rFonts w:hint="default" w:ascii="Times New Roman" w:hAnsi="Times New Roman" w:eastAsia="Times New Roman" w:cs="Times New Roman"/>
                <w:b/>
                <w:bCs/>
                <w:color w:val="000000"/>
                <w:sz w:val="22"/>
                <w:szCs w:val="22"/>
                <w:u w:val="none" w:color="auto"/>
                <w:vertAlign w:val="baseline"/>
                <w:lang w:val="pt-BR"/>
              </w:rPr>
              <w:t>Local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49"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Sorteio do ponto para prova didática</w:t>
            </w:r>
          </w:p>
        </w:tc>
        <w:tc>
          <w:tcPr>
            <w:tcW w:w="1339"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03/05/2022</w:t>
            </w:r>
          </w:p>
        </w:tc>
        <w:tc>
          <w:tcPr>
            <w:tcW w:w="148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09h</w:t>
            </w:r>
          </w:p>
        </w:tc>
        <w:tc>
          <w:tcPr>
            <w:tcW w:w="2747"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Campus IV - Mamanguape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49"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Realização da prova didática</w:t>
            </w:r>
          </w:p>
        </w:tc>
        <w:tc>
          <w:tcPr>
            <w:tcW w:w="1339"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04/05/2022</w:t>
            </w:r>
          </w:p>
        </w:tc>
        <w:tc>
          <w:tcPr>
            <w:tcW w:w="1484"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highlight w:val="yellow"/>
                <w:u w:val="none" w:color="auto"/>
                <w:vertAlign w:val="baseline"/>
                <w:lang w:val="pt-PT"/>
              </w:rPr>
              <w:t>14</w:t>
            </w:r>
            <w:r>
              <w:rPr>
                <w:rFonts w:hint="default" w:ascii="Times New Roman" w:hAnsi="Times New Roman" w:eastAsia="Times New Roman" w:cs="Times New Roman"/>
                <w:b w:val="0"/>
                <w:bCs w:val="0"/>
                <w:color w:val="000000"/>
                <w:sz w:val="22"/>
                <w:szCs w:val="22"/>
                <w:highlight w:val="yellow"/>
                <w:u w:val="none" w:color="auto"/>
                <w:vertAlign w:val="baseline"/>
                <w:lang w:val="pt-BR"/>
              </w:rPr>
              <w:t>h</w:t>
            </w:r>
          </w:p>
        </w:tc>
        <w:tc>
          <w:tcPr>
            <w:tcW w:w="2747"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Campus IV - Mamanguape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49"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Divulgação do resultado da prova didática</w:t>
            </w:r>
          </w:p>
        </w:tc>
        <w:tc>
          <w:tcPr>
            <w:tcW w:w="1339"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04/05/2022</w:t>
            </w:r>
          </w:p>
        </w:tc>
        <w:tc>
          <w:tcPr>
            <w:tcW w:w="148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A partir das 19h</w:t>
            </w:r>
          </w:p>
        </w:tc>
        <w:tc>
          <w:tcPr>
            <w:tcW w:w="2747"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Campus IV - Mamanguape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249"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Período de interposição de pedido de reconsideração do resultado da prova didática</w:t>
            </w:r>
          </w:p>
        </w:tc>
        <w:tc>
          <w:tcPr>
            <w:tcW w:w="1339"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05/05/2022</w:t>
            </w:r>
          </w:p>
        </w:tc>
        <w:tc>
          <w:tcPr>
            <w:tcW w:w="1484"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19h de 04/05/2022 às 19h de 05/02/2022</w:t>
            </w:r>
          </w:p>
        </w:tc>
        <w:tc>
          <w:tcPr>
            <w:tcW w:w="2747"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Campus IV - Mamanguape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49"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Exame de Títulos</w:t>
            </w:r>
          </w:p>
        </w:tc>
        <w:tc>
          <w:tcPr>
            <w:tcW w:w="1339"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06/05/2022</w:t>
            </w:r>
          </w:p>
        </w:tc>
        <w:tc>
          <w:tcPr>
            <w:tcW w:w="148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A partir das 09h</w:t>
            </w:r>
          </w:p>
        </w:tc>
        <w:tc>
          <w:tcPr>
            <w:tcW w:w="2747"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Campus IV - Mamanguape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49"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Divulgação do resultado do Exame de Títulos</w:t>
            </w:r>
          </w:p>
        </w:tc>
        <w:tc>
          <w:tcPr>
            <w:tcW w:w="1339"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06/05/2022</w:t>
            </w:r>
          </w:p>
        </w:tc>
        <w:tc>
          <w:tcPr>
            <w:tcW w:w="1484"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A partir das 19h</w:t>
            </w:r>
          </w:p>
        </w:tc>
        <w:tc>
          <w:tcPr>
            <w:tcW w:w="2747" w:type="dxa"/>
            <w:tcBorders>
              <w:top w:val="dotted" w:color="auto" w:sz="4" w:space="0"/>
              <w:left w:val="dotted" w:color="auto" w:sz="4" w:space="0"/>
              <w:bottom w:val="dotted" w:color="auto" w:sz="4" w:space="0"/>
              <w:right w:val="dotted" w:color="auto" w:sz="4" w:space="0"/>
            </w:tcBorders>
            <w:shd w:val="clear" w:color="auto" w:fill="CCCCCC"/>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Campus IV - Mamanguape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49" w:type="dxa"/>
            <w:tcBorders>
              <w:top w:val="dotted" w:color="auto" w:sz="4" w:space="0"/>
              <w:left w:val="dotted" w:color="auto" w:sz="4" w:space="0"/>
              <w:bottom w:val="single" w:color="000000" w:sz="8"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Divulgação do resultado final</w:t>
            </w:r>
          </w:p>
        </w:tc>
        <w:tc>
          <w:tcPr>
            <w:tcW w:w="1339" w:type="dxa"/>
            <w:tcBorders>
              <w:top w:val="dotted" w:color="auto" w:sz="4" w:space="0"/>
              <w:left w:val="dotted" w:color="auto" w:sz="4" w:space="0"/>
              <w:bottom w:val="single" w:color="000000" w:sz="8"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09/05/2022</w:t>
            </w:r>
          </w:p>
        </w:tc>
        <w:tc>
          <w:tcPr>
            <w:tcW w:w="1484" w:type="dxa"/>
            <w:tcBorders>
              <w:top w:val="dotted" w:color="auto" w:sz="4" w:space="0"/>
              <w:left w:val="dotted" w:color="auto" w:sz="4" w:space="0"/>
              <w:bottom w:val="single" w:color="000000" w:sz="8"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A partir das 19h</w:t>
            </w:r>
          </w:p>
        </w:tc>
        <w:tc>
          <w:tcPr>
            <w:tcW w:w="2747" w:type="dxa"/>
            <w:tcBorders>
              <w:top w:val="dotted" w:color="auto" w:sz="4" w:space="0"/>
              <w:left w:val="dotted" w:color="auto" w:sz="4" w:space="0"/>
              <w:bottom w:val="single" w:color="000000" w:sz="8"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ind w:right="0"/>
              <w:jc w:val="center"/>
              <w:textAlignment w:val="auto"/>
              <w:rPr>
                <w:rFonts w:hint="default" w:ascii="Times New Roman" w:hAnsi="Times New Roman" w:eastAsia="Times New Roman" w:cs="Times New Roman"/>
                <w:b w:val="0"/>
                <w:bCs w:val="0"/>
                <w:color w:val="000000"/>
                <w:sz w:val="22"/>
                <w:szCs w:val="22"/>
                <w:u w:val="none" w:color="auto"/>
                <w:vertAlign w:val="baseline"/>
                <w:lang w:val="pt-BR"/>
              </w:rPr>
            </w:pPr>
            <w:r>
              <w:rPr>
                <w:rFonts w:hint="default" w:ascii="Times New Roman" w:hAnsi="Times New Roman" w:eastAsia="Times New Roman" w:cs="Times New Roman"/>
                <w:b w:val="0"/>
                <w:bCs w:val="0"/>
                <w:color w:val="000000"/>
                <w:sz w:val="22"/>
                <w:szCs w:val="22"/>
                <w:u w:val="none" w:color="auto"/>
                <w:vertAlign w:val="baseline"/>
                <w:lang w:val="pt-BR"/>
              </w:rPr>
              <w:t>Campus IV - Mamanguape</w:t>
            </w:r>
          </w:p>
        </w:tc>
      </w:tr>
    </w:tbl>
    <w:p>
      <w:pPr>
        <w:spacing w:after="0"/>
        <w:ind w:right="6"/>
        <w:jc w:val="center"/>
        <w:rPr>
          <w:rFonts w:ascii="Times New Roman" w:hAnsi="Times New Roman" w:eastAsia="Times New Roman" w:cs="Times New Roman"/>
          <w:b/>
          <w:bCs/>
          <w:color w:val="auto"/>
          <w:sz w:val="22"/>
          <w:szCs w:val="22"/>
          <w:u w:val="single" w:color="auto"/>
        </w:rPr>
      </w:pPr>
    </w:p>
    <w:p>
      <w:pPr>
        <w:spacing w:after="0" w:line="250" w:lineRule="auto"/>
        <w:ind w:left="360" w:right="366"/>
        <w:jc w:val="both"/>
        <w:rPr>
          <w:color w:val="auto"/>
          <w:sz w:val="20"/>
          <w:szCs w:val="20"/>
        </w:rPr>
      </w:pPr>
      <w:r>
        <w:rPr>
          <w:rFonts w:ascii="Times New Roman" w:hAnsi="Times New Roman" w:eastAsia="Times New Roman" w:cs="Times New Roman"/>
          <w:b/>
          <w:bCs/>
          <w:color w:val="auto"/>
          <w:sz w:val="24"/>
          <w:szCs w:val="24"/>
        </w:rPr>
        <w:t>Observação importante</w:t>
      </w:r>
      <w:r>
        <w:rPr>
          <w:rFonts w:ascii="Times New Roman" w:hAnsi="Times New Roman" w:eastAsia="Times New Roman" w:cs="Times New Roman"/>
          <w:color w:val="auto"/>
          <w:sz w:val="24"/>
          <w:szCs w:val="24"/>
        </w:rPr>
        <w:t>: Os dias e horários dos exames, bem como da divulgação de resultados e demais atividades relativas à realização do concurso podem sofrer alterações dependendo da quantidade de candidatos inscritos, do andamento das atividades de avaliação realizadas pela Comissão de Seleção (Banca Examinadora), ou ainda, se houver interposição de pedido de reconsideração, nos termos da lei.</w:t>
      </w:r>
    </w:p>
    <w:p>
      <w:pPr>
        <w:spacing w:after="0" w:line="200" w:lineRule="exact"/>
        <w:jc w:val="both"/>
        <w:rPr>
          <w:color w:val="auto"/>
          <w:sz w:val="24"/>
          <w:szCs w:val="24"/>
        </w:rPr>
      </w:pPr>
    </w:p>
    <w:p>
      <w:pPr>
        <w:spacing w:after="0" w:line="230" w:lineRule="exact"/>
        <w:jc w:val="both"/>
        <w:rPr>
          <w:color w:val="auto"/>
          <w:sz w:val="24"/>
          <w:szCs w:val="24"/>
        </w:rPr>
      </w:pPr>
    </w:p>
    <w:p>
      <w:pPr>
        <w:spacing w:after="0"/>
        <w:ind w:left="2760"/>
        <w:jc w:val="both"/>
        <w:rPr>
          <w:color w:val="auto"/>
          <w:sz w:val="20"/>
          <w:szCs w:val="20"/>
        </w:rPr>
      </w:pPr>
      <w:r>
        <w:rPr>
          <w:rFonts w:ascii="Times New Roman" w:hAnsi="Times New Roman" w:eastAsia="Times New Roman" w:cs="Times New Roman"/>
          <w:b/>
          <w:bCs/>
          <w:color w:val="auto"/>
          <w:sz w:val="24"/>
          <w:szCs w:val="24"/>
          <w:u w:val="single" w:color="auto"/>
        </w:rPr>
        <w:t>CONTEÚDO PROGRAMÁTICO</w:t>
      </w:r>
    </w:p>
    <w:p>
      <w:pPr>
        <w:spacing w:after="0" w:line="249" w:lineRule="exact"/>
        <w:jc w:val="both"/>
        <w:rPr>
          <w:color w:val="auto"/>
          <w:sz w:val="24"/>
          <w:szCs w:val="24"/>
        </w:rPr>
      </w:pPr>
    </w:p>
    <w:p>
      <w:pPr>
        <w:spacing w:after="0"/>
        <w:ind w:left="360"/>
        <w:jc w:val="both"/>
        <w:rPr>
          <w:color w:val="auto"/>
          <w:sz w:val="20"/>
          <w:szCs w:val="20"/>
        </w:rPr>
      </w:pPr>
      <w:r>
        <w:rPr>
          <w:rFonts w:ascii="Times New Roman" w:hAnsi="Times New Roman" w:eastAsia="Times New Roman" w:cs="Times New Roman"/>
          <w:color w:val="auto"/>
          <w:sz w:val="24"/>
          <w:szCs w:val="24"/>
        </w:rPr>
        <w:t>01. Os fatores de textualidade nas práticas de leitura, oralidade e escrita;</w:t>
      </w:r>
    </w:p>
    <w:p>
      <w:pPr>
        <w:numPr>
          <w:ilvl w:val="0"/>
          <w:numId w:val="1"/>
        </w:numPr>
        <w:tabs>
          <w:tab w:val="left" w:pos="720"/>
        </w:tabs>
        <w:spacing w:after="0"/>
        <w:ind w:left="72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Morfossintaxe da Língua Portuguesa: aspectos teóricos e metodológicos;</w:t>
      </w:r>
    </w:p>
    <w:p>
      <w:pPr>
        <w:numPr>
          <w:ilvl w:val="0"/>
          <w:numId w:val="1"/>
        </w:numPr>
        <w:tabs>
          <w:tab w:val="left" w:pos="720"/>
        </w:tabs>
        <w:spacing w:after="0"/>
        <w:ind w:left="72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Gêneros textuais e discursivos do universo acadêmico e oficial;</w:t>
      </w:r>
    </w:p>
    <w:p>
      <w:pPr>
        <w:numPr>
          <w:ilvl w:val="0"/>
          <w:numId w:val="1"/>
        </w:numPr>
        <w:tabs>
          <w:tab w:val="left" w:pos="720"/>
        </w:tabs>
        <w:spacing w:after="0"/>
        <w:ind w:left="72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Norma e variação linguística: implicações para o ensino de Língua Portuguesa;</w:t>
      </w:r>
    </w:p>
    <w:p>
      <w:pPr>
        <w:numPr>
          <w:ilvl w:val="0"/>
          <w:numId w:val="1"/>
        </w:numPr>
        <w:tabs>
          <w:tab w:val="left" w:pos="720"/>
        </w:tabs>
        <w:spacing w:after="0"/>
        <w:ind w:left="72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Semântica e Pragmática: interfaces para o ensino de Língua Portuguesa.</w:t>
      </w:r>
    </w:p>
    <w:p>
      <w:pPr>
        <w:spacing w:after="0" w:line="348" w:lineRule="exact"/>
        <w:rPr>
          <w:color w:val="auto"/>
          <w:sz w:val="24"/>
          <w:szCs w:val="24"/>
        </w:rPr>
      </w:pPr>
    </w:p>
    <w:p>
      <w:pPr>
        <w:spacing w:after="0"/>
        <w:ind w:right="6"/>
        <w:jc w:val="center"/>
        <w:rPr>
          <w:color w:val="auto"/>
          <w:sz w:val="20"/>
          <w:szCs w:val="20"/>
        </w:rPr>
      </w:pPr>
      <w:r>
        <w:rPr>
          <w:rFonts w:ascii="Times New Roman" w:hAnsi="Times New Roman" w:eastAsia="Times New Roman" w:cs="Times New Roman"/>
          <w:b/>
          <w:bCs/>
          <w:color w:val="auto"/>
          <w:sz w:val="24"/>
          <w:szCs w:val="24"/>
          <w:u w:val="single" w:color="auto"/>
        </w:rPr>
        <w:t>COMISSÃO EXAMINADORA</w:t>
      </w:r>
    </w:p>
    <w:p>
      <w:pPr>
        <w:spacing w:after="0"/>
        <w:ind w:left="360" w:right="366"/>
        <w:jc w:val="both"/>
        <w:rPr>
          <w:color w:val="auto"/>
          <w:sz w:val="20"/>
          <w:szCs w:val="20"/>
        </w:rPr>
      </w:pPr>
      <w:r>
        <w:rPr>
          <w:rFonts w:ascii="Times New Roman" w:hAnsi="Times New Roman" w:eastAsia="Times New Roman" w:cs="Times New Roman"/>
          <w:b/>
          <w:bCs/>
          <w:color w:val="auto"/>
          <w:sz w:val="24"/>
          <w:szCs w:val="24"/>
        </w:rPr>
        <w:t>TITULARES:</w:t>
      </w:r>
      <w:r>
        <w:rPr>
          <w:rFonts w:ascii="Times New Roman" w:hAnsi="Times New Roman" w:eastAsia="Times New Roman" w:cs="Times New Roman"/>
          <w:color w:val="auto"/>
          <w:sz w:val="24"/>
          <w:szCs w:val="24"/>
        </w:rPr>
        <w:t xml:space="preserve"> Fernanda Barboza de Lima, Laurênia Souto Sales e Luana Francisleyde Pessoa de Farias.</w:t>
      </w:r>
    </w:p>
    <w:p>
      <w:pPr>
        <w:spacing w:after="0" w:line="282" w:lineRule="auto"/>
        <w:ind w:left="360" w:right="366"/>
        <w:jc w:val="both"/>
        <w:rPr>
          <w:color w:val="auto"/>
          <w:sz w:val="20"/>
          <w:szCs w:val="20"/>
        </w:rPr>
      </w:pPr>
      <w:r>
        <w:rPr>
          <w:rFonts w:ascii="Times New Roman" w:hAnsi="Times New Roman" w:eastAsia="Times New Roman" w:cs="Times New Roman"/>
          <w:b/>
          <w:bCs/>
          <w:color w:val="auto"/>
          <w:sz w:val="24"/>
          <w:szCs w:val="24"/>
        </w:rPr>
        <w:t>SUPLENTES:</w:t>
      </w:r>
      <w:r>
        <w:rPr>
          <w:rFonts w:ascii="Times New Roman" w:hAnsi="Times New Roman" w:eastAsia="Times New Roman" w:cs="Times New Roman"/>
          <w:color w:val="auto"/>
          <w:sz w:val="24"/>
          <w:szCs w:val="24"/>
        </w:rPr>
        <w:t xml:space="preserve"> Fábio Pessoa da Silva, Elaine Reis Laureano e Walquíria Nascimento da Silva.</w:t>
      </w:r>
    </w:p>
    <w:sectPr>
      <w:pgSz w:w="11900" w:h="16838"/>
      <w:pgMar w:top="1440" w:right="1440" w:bottom="1067"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njaliOldLipi">
    <w:panose1 w:val="02000603000000000000"/>
    <w:charset w:val="00"/>
    <w:family w:val="auto"/>
    <w:pitch w:val="default"/>
    <w:sig w:usb0="80800001" w:usb1="00002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B23C6"/>
    <w:multiLevelType w:val="singleLevel"/>
    <w:tmpl w:val="327B23C6"/>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745F6"/>
    <w:rsid w:val="443C2914"/>
    <w:rsid w:val="5EF7B375"/>
    <w:rsid w:val="6F7FA2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53</TotalTime>
  <ScaleCrop>false</ScaleCrop>
  <LinksUpToDate>false</LinksUpToDate>
  <CharactersWithSpaces>3</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2022-04-26T16:41:00Z</dcterms:created>
  <dc:creator>Windows User</dc:creator>
  <cp:lastModifiedBy>secretaria</cp:lastModifiedBy>
  <dcterms:modified xsi:type="dcterms:W3CDTF">2022-04-26T18:52:33Z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1033-11.1.0.10920</vt:lpwstr>
  </property>
  <property fmtid="{D5CDD505-2E9C-101B-9397-08002B2CF9AE}" pid="3" name="ICV">
    <vt:lpwstr>1990228BD70347C6929D68C269C14CC5</vt:lpwstr>
  </property>
</Properties>
</file>